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u w:val="single"/>
        </w:rPr>
        <w:t xml:space="preserve">Общество с ограниченной ответственностью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u w:val="single"/>
        </w:rPr>
        <w:t>«Монтажник наружных работ -1»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u w:val="single"/>
        </w:rPr>
        <w:t>21.04.2016 года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связи с изменениями информации о застройщике и проекте строительства объекта «Жилой дом со встроенным гаражом» по адресу: Санкт-Петербург, г. Пушкин, Софийский бульвар, д.32а, лит А и переходом права собственности на земельный участок, на котором ведется строительство Обществом  с ограниченной ответственностью «Монтажник наружных работ-1» принято решение о внесении в ранее опубликованную проектную декларацию изменений путем ее изложения в новой нижеследующей редакции: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Проектная декларация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строительство объекта нового строительства: "  Жилой дом со встроенным гаражом" по адресу: Санкт-Петербург, г. Пушкин, Софийский бульвар, д.32а,лит А</w:t>
      </w:r>
    </w:p>
    <w:tbl>
      <w:tblPr>
        <w:tblW w:w="9508" w:type="dxa"/>
        <w:jc w:val="left"/>
        <w:tblInd w:w="-2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861"/>
        <w:gridCol w:w="3429"/>
        <w:gridCol w:w="5218"/>
      </w:tblGrid>
      <w:tr>
        <w:trPr>
          <w:trHeight w:val="1" w:hRule="atLeast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Содержание</w:t>
            </w:r>
          </w:p>
        </w:tc>
      </w:tr>
      <w:tr>
        <w:trPr>
          <w:trHeight w:val="1" w:hRule="atLeast"/>
        </w:trPr>
        <w:tc>
          <w:tcPr>
            <w:tcW w:w="950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1. Информация о застройщике</w:t>
            </w:r>
          </w:p>
        </w:tc>
      </w:tr>
      <w:tr>
        <w:trPr>
          <w:trHeight w:val="1" w:hRule="atLeast"/>
        </w:trPr>
        <w:tc>
          <w:tcPr>
            <w:tcW w:w="8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1.1.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Фирменное наименование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(наименование)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Общество с ограниченной ответственностью                  «Монтажник наружных работ-1»</w:t>
            </w:r>
          </w:p>
        </w:tc>
      </w:tr>
      <w:tr>
        <w:trPr>
          <w:trHeight w:val="1" w:hRule="atLeast"/>
        </w:trPr>
        <w:tc>
          <w:tcPr>
            <w:tcW w:w="861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 нахождения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196620, г. Санкт-Петербург, г. Павловск, ул. Березовая д. 25 пом. 1 Н</w:t>
            </w:r>
          </w:p>
        </w:tc>
      </w:tr>
      <w:tr>
        <w:trPr>
          <w:trHeight w:val="1" w:hRule="atLeast"/>
        </w:trPr>
        <w:tc>
          <w:tcPr>
            <w:tcW w:w="8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Режим работы</w:t>
            </w: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Понедельник – пятница с 9:00 до 18:00;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суббота, воскресенье – выходные дни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телефон 600-52-66</w:t>
            </w:r>
          </w:p>
        </w:tc>
      </w:tr>
      <w:tr>
        <w:trPr>
          <w:trHeight w:val="1" w:hRule="atLeast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1.2.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Государственная регистрация</w:t>
            </w: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Зарегистрировано 05 апреля 2012г. Межрайонной инспекцией Федеральной налоговой службы </w:t>
            </w:r>
            <w:r>
              <w:rPr>
                <w:rFonts w:eastAsia="Segoe UI Symbol" w:cs="Times New Roman" w:ascii="Times New Roman" w:hAnsi="Times New Roman"/>
              </w:rPr>
              <w:t>№</w:t>
            </w:r>
            <w:r>
              <w:rPr>
                <w:rFonts w:eastAsia="Times New Roman" w:cs="Times New Roman" w:ascii="Times New Roman" w:hAnsi="Times New Roman"/>
              </w:rPr>
              <w:t xml:space="preserve">15 по Санкт-Петербургу, бланк серии 78№008551731 за основным государственным регистрационным номером 1127847173981, </w:t>
            </w:r>
            <w:r>
              <w:rPr>
                <w:rFonts w:cs="Times New Roman" w:ascii="Times New Roman" w:hAnsi="Times New Roman"/>
              </w:rPr>
              <w:t xml:space="preserve">состоящее на налоговом учете  в Межрайонной инспекцией Федеральной налоговой службы № 2 по Санкт-Петербургу </w:t>
            </w:r>
            <w:r>
              <w:rPr>
                <w:rFonts w:eastAsia="Times New Roman" w:cs="Times New Roman" w:ascii="Times New Roman" w:hAnsi="Times New Roman"/>
              </w:rPr>
              <w:t xml:space="preserve">ИНН 7820328440; КПП 782001001 (Свидетельство о постановке на учет в налоговом органе по месту нахождения на территории Российской федерации на бланке серии 78 </w:t>
            </w:r>
            <w:r>
              <w:rPr>
                <w:rFonts w:eastAsia="Segoe UI Symbol" w:cs="Times New Roman" w:ascii="Times New Roman" w:hAnsi="Times New Roman"/>
              </w:rPr>
              <w:t>№</w:t>
            </w:r>
            <w:r>
              <w:rPr>
                <w:rFonts w:eastAsia="Times New Roman" w:cs="Times New Roman" w:ascii="Times New Roman" w:hAnsi="Times New Roman"/>
              </w:rPr>
              <w:t>008551732 от 05 апреля 2012 года)</w:t>
            </w:r>
          </w:p>
        </w:tc>
      </w:tr>
      <w:tr>
        <w:trPr>
          <w:trHeight w:val="1" w:hRule="atLeast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1.3.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Учредители (участники)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Рыжов Вячеслав Викторович, обладающий 100 % голосов в органе управления застройщика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1.4.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Отсутствуют </w:t>
            </w:r>
          </w:p>
        </w:tc>
      </w:tr>
      <w:tr>
        <w:trPr>
          <w:trHeight w:val="1" w:hRule="atLeast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1.5.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ConsNormal"/>
              <w:ind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Информация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законом: </w:t>
            </w: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деятельности не подлежит лицензированию</w:t>
            </w:r>
          </w:p>
        </w:tc>
      </w:tr>
      <w:tr>
        <w:trPr>
          <w:trHeight w:val="1" w:hRule="atLeast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1.6.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ConsNormal"/>
              <w:ind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 финансовом результате текущего года:</w:t>
            </w: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финансовый результат текущего года составил сумму в размере 0 рублей</w:t>
            </w:r>
          </w:p>
        </w:tc>
      </w:tr>
      <w:tr>
        <w:trPr>
          <w:trHeight w:val="1" w:hRule="atLeast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1.7.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ConsNormal"/>
              <w:ind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 размере кредиторской (дебиторской) задолженности:</w:t>
            </w: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Кредиторская задолженность на день опубликования проектной декларации  составила сумму в размере 29 028 тыс. рублей.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A"/>
              </w:rPr>
              <w:t>Дебиторская задолженность на день опубликования проектной декларации составила сумму в размере 6 093 тыс. рублей.</w:t>
            </w:r>
          </w:p>
        </w:tc>
      </w:tr>
    </w:tbl>
    <w:p>
      <w:pPr>
        <w:pStyle w:val="Normal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2. Информация о проекте строительства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  <w:t>(в соответствии с проектной документацией)</w:t>
      </w:r>
    </w:p>
    <w:tbl>
      <w:tblPr>
        <w:tblW w:w="9473" w:type="dxa"/>
        <w:jc w:val="left"/>
        <w:tblInd w:w="-2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904"/>
        <w:gridCol w:w="3387"/>
        <w:gridCol w:w="5182"/>
      </w:tblGrid>
      <w:tr>
        <w:trPr>
          <w:trHeight w:val="1" w:hRule="atLeast"/>
        </w:trPr>
        <w:tc>
          <w:tcPr>
            <w:tcW w:w="9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2.1.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Цель проекта строительства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Объект капитального строительства:  Жилой дом со встроенным гаражом по адресу:</w:t>
            </w:r>
            <w:r>
              <w:rPr>
                <w:rFonts w:eastAsia="Arial" w:cs="Arial" w:ascii="Arial" w:hAnsi="Arial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Санкт-Петербург, г. Пушкин, Софийский бульвар,  д.32а, лит.А</w:t>
            </w:r>
          </w:p>
        </w:tc>
      </w:tr>
      <w:tr>
        <w:trPr>
          <w:trHeight w:val="1" w:hRule="atLeast"/>
        </w:trPr>
        <w:tc>
          <w:tcPr>
            <w:tcW w:w="904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Этапы и сроки реализации проекта строительства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Производство строительных и иных работ осуществляется в одну очередь. Срок окончания работ: 30.12.2017 года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ListParagraph"/>
              <w:tabs>
                <w:tab w:val="left" w:pos="0" w:leader="none"/>
              </w:tabs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О результатах экспертизы проектной документации</w:t>
            </w:r>
            <w:r>
              <w:rPr/>
              <w:t xml:space="preserve"> 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В отношении проектной документации получено п</w:t>
            </w:r>
            <w:r>
              <w:rPr>
                <w:rFonts w:eastAsia="Times New Roman" w:cs="Times New Roman" w:ascii="Times New Roman" w:hAnsi="Times New Roman"/>
              </w:rPr>
              <w:t xml:space="preserve">оложительное заключение экспертизы ООО «Негосударственная экспертиза проектов строительства» г. Санкт-Петербург от 07.11.2012 года </w:t>
            </w:r>
            <w:r>
              <w:rPr>
                <w:rFonts w:eastAsia="Segoe UI Symbol" w:cs="Segoe UI Symbol" w:ascii="Segoe UI Symbol" w:hAnsi="Segoe UI Symbol"/>
              </w:rPr>
              <w:t>№</w:t>
            </w:r>
            <w:r>
              <w:rPr>
                <w:rFonts w:eastAsia="Times New Roman" w:cs="Times New Roman" w:ascii="Times New Roman" w:hAnsi="Times New Roman"/>
              </w:rPr>
              <w:t xml:space="preserve"> 2-1-1-0383-12 </w:t>
            </w:r>
          </w:p>
        </w:tc>
      </w:tr>
      <w:tr>
        <w:trPr>
          <w:trHeight w:val="1" w:hRule="atLeast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2.2.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Разрешение на строительство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Разрешение на строительство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№   </w:t>
            </w:r>
            <w:r>
              <w:rPr>
                <w:rFonts w:eastAsia="Times New Roman" w:cs="Times New Roman" w:ascii="Times New Roman" w:hAnsi="Times New Roman"/>
              </w:rPr>
              <w:t>78-016-0222.1-2013, выданное Службой государственного строительного надзора и экспертизы Санкт-Петербурга   15.03.2016 года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9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2.3.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Права застройщика на земельный участок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Земельный участок, на котором осуществляется строительство, кадастровый номер </w:t>
            </w:r>
            <w:r>
              <w:rPr>
                <w:rFonts w:eastAsia="Times New Roman" w:cs="Times New Roman" w:ascii="Times New Roman" w:hAnsi="Times New Roman"/>
              </w:rPr>
              <w:t>78:42:0018108:4</w:t>
            </w:r>
            <w:r>
              <w:rPr>
                <w:rFonts w:cs="Times New Roman" w:ascii="Times New Roman" w:hAnsi="Times New Roman"/>
              </w:rPr>
              <w:t xml:space="preserve">, принадлежит застройщику на праве собственности, зарегистрированном на основании договора купли-продажи </w:t>
            </w:r>
            <w:r>
              <w:rPr>
                <w:rFonts w:eastAsia="Times New Roman" w:cs="Times New Roman" w:ascii="Times New Roman" w:hAnsi="Times New Roman"/>
              </w:rPr>
              <w:t>от 24.12.2015г. года</w:t>
            </w:r>
            <w:r>
              <w:rPr>
                <w:rFonts w:cs="Times New Roman" w:ascii="Times New Roman" w:hAnsi="Times New Roman"/>
              </w:rPr>
              <w:t xml:space="preserve">, о чем в Единый государственный реестр прав на недвижимость и сделок с ним внесена запись за номером </w:t>
            </w:r>
            <w:r>
              <w:rPr>
                <w:rFonts w:eastAsia="Times New Roman" w:cs="Times New Roman" w:ascii="Times New Roman" w:hAnsi="Times New Roman"/>
              </w:rPr>
              <w:t xml:space="preserve">78-78/006-78/085/041/2015-341/2 от 17.02.2016г. </w:t>
            </w:r>
          </w:p>
        </w:tc>
      </w:tr>
      <w:tr>
        <w:trPr>
          <w:trHeight w:val="1" w:hRule="atLeast"/>
        </w:trPr>
        <w:tc>
          <w:tcPr>
            <w:tcW w:w="904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78:42:0018108:4</w:t>
            </w:r>
          </w:p>
        </w:tc>
      </w:tr>
      <w:tr>
        <w:trPr>
          <w:trHeight w:val="1" w:hRule="atLeast"/>
        </w:trPr>
        <w:tc>
          <w:tcPr>
            <w:tcW w:w="904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Площадь земельного участка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1545 кв.м.</w:t>
            </w:r>
          </w:p>
        </w:tc>
      </w:tr>
      <w:tr>
        <w:trPr>
          <w:trHeight w:val="1" w:hRule="atLeast"/>
        </w:trPr>
        <w:tc>
          <w:tcPr>
            <w:tcW w:w="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Элементы благоустройства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Благоустройство территории обеспечивается за счет устройства асфальтированного проезда,  пешеходных тротуаров, бордюров, озеленения.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Местоположение строящегося здания, его описание в соответствии с проектной документацией, на основании которой выдано разрешение на строительство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Объект строительства находится на территории центральной части г.Пушкина, в квартале ограниченном Софийским и Октябрьским бульварами, улицей Широкая и Привокзальной площадью.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 севера участок граничит с территорией зеленых насаждений "Детский парк"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Генеральным планом предусмотрено строительство 3-х этажного 2-х секционного жилого здания с цокольным этажом и со встроенным гаражом. Главный фасад ориентирован на зеленую зону "Детский парк". встроенный гараж под жилым зданием. Выходы из гаража и цокольного этажа изолированы от выходов из жилой части здания.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Оконные блоки- двухкамерные стеклопакеты.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Лоджии и балконы- остеклены.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Кровля мягкая рулонная с внутренними водостоками. В здании предусмотрены два пассажирских лифта.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Фундаменты- монолитная железобетонная плита.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Наружные стены- поризованный кирпич.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Перекрытия - сборный железобетон.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Теплоснабжение, электроснабжение, водоснабжение и водоотведение по техническим условиям соответствующих ведомств от городских квартальных сетей.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Пищеприготовление- электроплиты.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Количество квартир- 18 штук. Квартиры запроектированы 2-х, 3-х и 4-х комнатные.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Высота жилых этажей в чистоте - 3,0 м, санузлы раздельные и совмещенные</w:t>
            </w:r>
          </w:p>
        </w:tc>
      </w:tr>
      <w:tr>
        <w:trPr>
          <w:trHeight w:val="1" w:hRule="atLeast"/>
        </w:trPr>
        <w:tc>
          <w:tcPr>
            <w:tcW w:w="9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2.4.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Количество в составе строящегося (создаваемого) жилого дома  и (или)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после получения разрешения на ввод в эксплуатацию многоквартирного дома и (или) иного объекта недвижимости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Площадь застройки – 1270,0 м2,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Общая площадь здания 5046,0 м2                          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Общая площадь квартир–2391,20 м2                               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Строительный обьем – 18900,0м3,                               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Количество  квартир -18 шт, в т.ч.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>Двухкомнатных – 6 шт,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>Трехкомнатных -11 шт,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 xml:space="preserve">Четырехкомнатные – 1 шт.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>Подземный гараж на 28 м/мест.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Квартиры передаются без чистовой отделки , без конечных сантехнических приборов и осветительных приборов, без установки межкомнатных дверей.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нежилые встроенные помещения цокольного этажа без функционального назначения.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2.5.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Технологические помещения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89" w:hanging="189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помещение уборочного инвентаря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89" w:hanging="189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водомерный узел;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89" w:hanging="189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электрощитовая;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89" w:hanging="189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помещения диспетчерской </w:t>
            </w:r>
          </w:p>
          <w:p>
            <w:pPr>
              <w:pStyle w:val="Normal"/>
              <w:spacing w:lineRule="auto" w:line="240" w:before="0" w:after="0"/>
              <w:ind w:left="189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 также  лестницы и  тамбуры;</w:t>
            </w:r>
          </w:p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2.6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Предполагаемый срок получения разрешения на ввод в эксплуатацию строящегося (создаваемого) жилого дома и (или) иного объекта недвижимости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Предполагаемый срок получения разрешения на ввод в эксплуатацию –  30.12.2017 года.</w:t>
            </w:r>
          </w:p>
        </w:tc>
      </w:tr>
      <w:tr>
        <w:trPr>
          <w:trHeight w:val="1" w:hRule="atLeast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2.7.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ConsPlusNormal"/>
              <w:tabs>
                <w:tab w:val="left" w:pos="0" w:leader="none"/>
              </w:tabs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Об органе, уполномоченном в соответствии с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color w:val="00000A"/>
                  <w:sz w:val="22"/>
                  <w:szCs w:val="22"/>
                  <w:lang w:val="ru-RU"/>
                </w:rPr>
                <w:t>законодательством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о градостроительной деятельности на выдачу разрешения на ввод строящихся (реконструируемых) объектов недвижимости в эксплуатацию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Служба государственного строительного надзора и экспертизы Санкт-Петербурга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Адрес: 191023, Санкт-Петербург, ул. Зодчего Росси, дом 1/3</w:t>
            </w:r>
          </w:p>
          <w:p>
            <w:pPr>
              <w:pStyle w:val="ConsNormal"/>
              <w:spacing w:lineRule="auto" w:line="240"/>
              <w:ind w:left="720" w:right="0" w:hanging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9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2.8.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Срок  передачи застройщиком  объектов нового строительства квартир ( иных помещений) участникам долевого строительства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30.12.2017</w:t>
            </w:r>
          </w:p>
        </w:tc>
      </w:tr>
      <w:tr>
        <w:trPr>
          <w:trHeight w:val="1" w:hRule="atLeast"/>
        </w:trPr>
        <w:tc>
          <w:tcPr>
            <w:tcW w:w="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ListParagraph"/>
              <w:tabs>
                <w:tab w:val="left" w:pos="0" w:leader="none"/>
              </w:tabs>
              <w:spacing w:lineRule="auto" w:line="240" w:before="0" w:after="0"/>
              <w:ind w:left="39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О возможных финансовых и прочих рисках при осуществлении проекта строительства и мерах по страхованию застройщиком таких рисков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Возможные финансовые  и прочие риски при осуществлении проекта строительства: Повышение цен на материалы и субподрядные работы.    </w:t>
            </w:r>
          </w:p>
        </w:tc>
      </w:tr>
      <w:tr>
        <w:trPr>
          <w:trHeight w:val="1" w:hRule="atLeast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Планируемая стоимость строительства (создания) многоквартирного дома и (или) иного объекта недвижимости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Планируемая стоимость реализации инвестиционного проекта по проектированию и строительству объекта составляет  224 235 000  рублей</w:t>
            </w:r>
          </w:p>
        </w:tc>
      </w:tr>
      <w:tr>
        <w:trPr>
          <w:trHeight w:val="1" w:hRule="atLeast"/>
        </w:trPr>
        <w:tc>
          <w:tcPr>
            <w:tcW w:w="9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- Генеральный подрядчик – Индивидуальный предприниматель Флегантова Д.А. (ИНН 711711147738 , ОГРНИП  315715400028439),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Генеральный проектировщик – ООО «Архитектурная мастерская  М.Ф. Лин» (ИНН 7838004870 )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Проектировщик  ООО «Петрогражданпроект»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(ИНН 7820331482)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Способ обеспечения исполнения обязательств застройщика по договору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Залог в силу закона, возникающий в порядке, предусмотренном Федеральным законом №214-ФЗ от 30.12.2004 года «Об участии в долевом строительстве многоквартирных домов и иных объектов недвижимости и о внесении изменений в некоторые законодательные акты Российской Федерации»</w:t>
            </w:r>
          </w:p>
        </w:tc>
      </w:tr>
      <w:tr>
        <w:trPr>
          <w:trHeight w:val="1" w:hRule="atLeast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2.10.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Иные договоры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Возможно заключение сделок регулируемых Гражданским кодексом Российской Федерации и законодательством Российской Федерации об инвестиционной деятельности</w:t>
            </w:r>
          </w:p>
        </w:tc>
      </w:tr>
    </w:tbl>
    <w:p>
      <w:pPr>
        <w:pStyle w:val="Normal"/>
        <w:rPr>
          <w:rFonts w:ascii="Calibri" w:hAnsi="Calibri" w:eastAsia="Calibri" w:cs="Calibri"/>
          <w:sz w:val="28"/>
        </w:rPr>
      </w:pPr>
      <w:bookmarkStart w:id="0" w:name="_GoBack"/>
      <w:bookmarkStart w:id="1" w:name="_GoBack"/>
      <w:bookmarkEnd w:id="1"/>
      <w:r>
        <w:rPr>
          <w:rFonts w:eastAsia="Calibri" w:cs="Calibri"/>
          <w:sz w:val="28"/>
        </w:rPr>
      </w:r>
    </w:p>
    <w:p>
      <w:pPr>
        <w:pStyle w:val="Normal"/>
        <w:rPr/>
      </w:pPr>
      <w:r>
        <w:rPr>
          <w:rFonts w:eastAsia="Calibri" w:cs="Times New Roman" w:ascii="Times New Roman" w:hAnsi="Times New Roman"/>
          <w:sz w:val="24"/>
        </w:rPr>
        <w:t xml:space="preserve">Размещена на сайте: </w:t>
      </w:r>
      <w:hyperlink r:id="rId3">
        <w:r>
          <w:rPr>
            <w:rStyle w:val="Style14"/>
            <w:rFonts w:eastAsia="Calibri" w:cs="Times New Roman" w:ascii="Times New Roman" w:hAnsi="Times New Roman"/>
            <w:sz w:val="24"/>
          </w:rPr>
          <w:t>www.mnr1.ru</w:t>
        </w:r>
      </w:hyperlink>
    </w:p>
    <w:p>
      <w:pPr>
        <w:pStyle w:val="Normal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 xml:space="preserve">Генеральный директор </w:t>
      </w:r>
    </w:p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>
          <w:rFonts w:eastAsia="Calibri" w:cs="Times New Roman" w:ascii="Times New Roman" w:hAnsi="Times New Roman"/>
          <w:sz w:val="24"/>
        </w:rPr>
        <w:t xml:space="preserve">ООО “МНР-1”                                                                                                         Рыжов В.В. </w:t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Segoe UI 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ＭＳ 明朝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a57a6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ascii="Times New Roman" w:hAnsi="Times New Roman" w:cs="Symbol"/>
    </w:rPr>
  </w:style>
  <w:style w:type="character" w:styleId="ListLabel3" w:customStyle="1">
    <w:name w:val="ListLabel 3"/>
    <w:qFormat/>
    <w:rPr>
      <w:rFonts w:ascii="Times New Roman" w:hAnsi="Times New Roman" w:cs="Symbol"/>
    </w:rPr>
  </w:style>
  <w:style w:type="character" w:styleId="ListLabel4" w:customStyle="1">
    <w:name w:val="ListLabel 4"/>
    <w:qFormat/>
    <w:rPr>
      <w:rFonts w:ascii="Times New Roman" w:hAnsi="Times New Roman" w:cs="Symbol"/>
    </w:rPr>
  </w:style>
  <w:style w:type="character" w:styleId="ListLabel5">
    <w:name w:val="ListLabel 5"/>
    <w:qFormat/>
    <w:rPr>
      <w:rFonts w:ascii="Times New Roman" w:hAnsi="Times New Roman" w:cs="Symbol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лав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175d0"/>
    <w:pPr>
      <w:spacing w:before="0" w:after="200"/>
      <w:ind w:left="720" w:hanging="0"/>
      <w:contextualSpacing/>
    </w:pPr>
    <w:rPr/>
  </w:style>
  <w:style w:type="paragraph" w:styleId="ConsNormal" w:customStyle="1">
    <w:name w:val="ConsNormal"/>
    <w:qFormat/>
    <w:rsid w:val="002471b9"/>
    <w:pPr>
      <w:widowControl/>
      <w:suppressAutoHyphens w:val="true"/>
      <w:bidi w:val="0"/>
      <w:spacing w:lineRule="auto" w:line="240"/>
      <w:ind w:right="19772" w:firstLine="720"/>
      <w:jc w:val="left"/>
    </w:pPr>
    <w:rPr>
      <w:rFonts w:ascii="Arial" w:hAnsi="Arial" w:eastAsia="Times New Roman" w:cs="Arial"/>
      <w:color w:val="00000A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ca4c5a"/>
    <w:pPr>
      <w:widowControl w:val="false"/>
      <w:suppressAutoHyphens w:val="true"/>
      <w:bidi w:val="0"/>
      <w:spacing w:before="0" w:after="200" w:lineRule="auto" w:line="276"/>
      <w:jc w:val="left"/>
    </w:pPr>
    <w:rPr>
      <w:rFonts w:ascii="Arial" w:hAnsi="Arial" w:eastAsia="Calibri" w:cs="Arial" w:eastAsiaTheme="minorHAnsi"/>
      <w:color w:val="00000A"/>
      <w:sz w:val="22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02808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E12D6960A146363ACE7C76A3550B3803341D7B1964073B01F440AD7C118F97670A6EC8A767CBF76O0j0M" TargetMode="External"/><Relationship Id="rId3" Type="http://schemas.openxmlformats.org/officeDocument/2006/relationships/hyperlink" Target="http://www.mnr1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94BF1-15AE-0E4A-8431-FD27C024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2016-08-16T14:38:00Z</dcterms:created>
  <dc:creator>Вячеслав Викторович Рыжов</dc:creator>
  <dc:language>ru-RU</dc:language>
  <cp:lastModifiedBy>Севастьян Давыдов</cp:lastModifiedBy>
  <dcterms:modified xsi:type="dcterms:W3CDTF">2016-08-16T14:38:00Z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